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2025</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社会科学普及经费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新疆维吾尔自治区社会科学界联合会</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新疆维吾尔自治区社会科学界联合会</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王利华</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2026年03月16日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1、项目背景</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自治区社会科学界联合会（简称自治区社科联)，是自治区党委领导下的群团组织，是自治区党委、政府联系我区哲学社会科学五路大军（全区高等院校、党校系统、社科院及各科研院所、部队及兵团院校、党政部门研究机构）的桥梁和纽带，是自治区社会科学类社会组织（学会、协会、研究会、民办社科研究机构）的业务主管部门，承担着桥梁纽带、组织协调、宣传普及、咨询服务的职能，是自治区意识形态工作的重要部门，发挥着党委、政府的思想库和智囊团的作用，致力于为哲学社会工作者服务，为新时代党的治疆方略服务，为提高全民人文科学素质服务，为党和政府科学决策服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社科联社科普及工作坚持以习近平新时代中国特色社会主义思想为指导，助力文化润疆，紧紧围绕贯彻落实好《新疆维吾尔自治区社会科学普及条例》和社科普及联席会议第三次会议精神统筹谋划全区的社科普及工作，充分凝聚社科力量，坚持服务发展大局，不断提高全民文化社会科学素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2.项目主要内容及实施情况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社会科学普及经费来源于财政拨款，专款专用于社会科学普及工作，经费的使用范围包括：社科普及周活动、社科普及产品（活动）制作展示、基层社科普及工作、社科普及平台搭建等；重点突出铸牢中华民族共同体意识宣传教育；举办各类社科普及活动，以新疆社会科学普及周、第三届（2025年）新疆动漫节全区农牧民讲故事大赛等活动突出坚定文化自信、坚守中华文化立场，讲好中国新疆故事；以社科普及示范村建设，呈现习近平新时代中国特色社会主义思想在新疆大地上的生动实践；以“中华优秀传统文化进高校下基层项目”，突出积极倡导现代文明生活方式，传播普及科学知识和现代理念，有效发挥了哲学社会科学思想先导和理论引领作用。</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项目实施情况：围绕项目主要内容，重点实施开展以下工作，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是举办2025年新疆社会科学普及周，采取“1+14+N”的形式开展，从276项申报项目中遴选50项予以支持，社科小伊、普法微剧场短视频、社科普及作品展等一系列社科普及品牌活动在基层落地生根。二是举办第三届（2025年）新疆动漫节，活动以内容为核心，深耕创作、广征作品、打造沉浸体验并构建多元传播体系，7天吸引10万人次参与，实现文化传播与社科普及的深度融合。在创作上，围绕自治区成立70周年等五大方向设19个专题，全国征集469个项目，立项49个专项给予资金支持，邀请中国动画学会马黎等10余位专家全程指导，产出绘本超1800页、动画超150分钟。三是举办全区农牧民讲故事大赛。活动自2025年3月启动，全疆14个地州、县市、乡村挖掘时代发展变迁故事，让广大农牧民成为主角，在阿克苏新和县举办的总决赛，联动环球网、新疆广播电视台、石榴云客户端等15个平台同步直播，直播观看人数突破500万。四是开展中华优秀传统文化进高校、下基层不断深入。2024年遴选支持的15项中华优秀传统文化进高校项目，在2025年实施，15个项目开展活动68场次，覆盖8.3万人次。2025年以社科普及项目的形式在各地（州、市）社科联、高等学校、自治区社科类社会组织报送项目205个项目中评选16个予以立项，活动将在2026年落实实施，重点面向南疆基层村（社区），着力满足基层一线群众实际文化需求。四是在巴州、伊犁两地分别举办南北疆南北疆基层社科普及工作推进会暨基层社科联主席、社科普及基地负责人专题培训班，全疆291名基层社科普及工作者参加培训，项目目前已经完成实际设立的目标，项目在实施过程中严格按照目标设立的各阶段任务进行开展工作，在前期立项过程中严格把质量关，建立安全防护机制，保证项目实施各阶段安全顺利进行。五是组织参与社科普及基地讲解员大赛，不断提升基层社科普及工作水平。六是推进社科普及乡村建设，助力社科普及向基层延伸。六是搭建办公平台，有效推动工作效率提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（1）资金投入</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项目总投资580.28万元。其中2024年结转经费65.28万元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社科普及周活动经费</w:t>
      </w:r>
      <w:r>
        <w:rPr>
          <w:rStyle w:val="18"/>
          <w:rFonts w:hint="eastAsia" w:ascii="楷体" w:hAnsi="楷体" w:eastAsia="楷体"/>
          <w:spacing w:val="-4"/>
          <w:sz w:val="32"/>
          <w:szCs w:val="32"/>
        </w:rPr>
        <w:tab/>
        <w:t>130万元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基层社科普及工作经费</w:t>
      </w:r>
      <w:r>
        <w:rPr>
          <w:rStyle w:val="18"/>
          <w:rFonts w:hint="eastAsia" w:ascii="楷体" w:hAnsi="楷体" w:eastAsia="楷体"/>
          <w:spacing w:val="-4"/>
          <w:sz w:val="32"/>
          <w:szCs w:val="32"/>
        </w:rPr>
        <w:tab/>
        <w:t>170万元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社科普及平台建设、产品（活动）采购、制作、编辑出版、展示经费230.28万元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社科普及平台建设50万元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（2）资金使用情况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项目预算资金来源于财政拨款，项目资金到位580.28万元，全年执行580.28万元，预算执行率为100%。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资金主要用于支付项目实施进程中的各项费用，按照单位财务制度等相关规定，资金支出符合社会科学普及专项资金费用范围，做到了专款专用。在项目资金拨付和使用过程中，为确保项目资金的安全性，提高项目资金使用效率，严格遵循社会科学普及专项资金的拨付程序，认真审核项目实施各阶段的相关材料和手续，根据项目实施进展情况拨付资金。</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①社科普及周活动经费130万元。主要用于社科普及周主场启动仪式的举办，社科普及周立项50个项目支持经费。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②基层社科普及工作经费  170万元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是组织开展中华优秀传统文化进高校、下基层活动。主要用于中华优秀传统文化进高校16个项目的立项资金。二是举办社科普及培训班。在巴州、伊犁两地分别举办南北疆南北疆基层社科普及工作推进会暨基层社科联主席、社科普及基地负责人专题培训班，全疆291名基层社科普及工作者参加培训，全部用于培训班经费。三是组织参与各省区市社科普及基地讲解员大赛，为3名选手开展专业指导，不断提升社科普及基地讲解员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③社科普及产品（活动）采购、制作、编辑出版、展示经费230.28万元。一是举办第三届（2024）动漫节。以“动·感新疆  漫·话丝路”为主题，开展动漫作品创作，创作动漫绘本、动画50部。二是组织开展“我心中那抹中国红”动漫作品征集，面向全国征集作品680件，组织开展创作作品和征集作品集中展示。。三是组织开展全区农牧民讲故事大赛，在阿克苏新和县举办半决赛和决赛，共42组选手讲述农牧民自己的故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④社科普及平台建设。搭建社科普及平台，</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1.总体目标。2025年，科普部认真贯彻落实自治区党委十届十四次全会精神，在社科联党组的坚强领导下，以自治区社科普及工作联席会议第三次会议精神统筹谋划全区社科普及工作，坚持“围绕中心 服务大局”，牢牢把握社科普及重点和关键，围绕铸牢中华民族共同体意识主线，扎实开展工作，在助力文化润疆、培育现代文明展现新作为。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开展社科普及活动次数  &gt;=100场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社科普及产品展览展示项目数量  </w:t>
      </w:r>
      <w:r>
        <w:rPr>
          <w:rStyle w:val="18"/>
          <w:rFonts w:hint="eastAsia" w:ascii="楷体" w:hAnsi="楷体" w:eastAsia="楷体"/>
          <w:spacing w:val="-4"/>
          <w:sz w:val="32"/>
          <w:szCs w:val="32"/>
        </w:rPr>
        <w:tab/>
        <w:t>&gt;=100项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社科普及活动地州覆盖面&gt;=95%</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一是持续推动习近平新时代中国特色社会主义思想、新时代党的治疆方略入脑入心，将依法治疆、团结稳疆、文化润疆、富民兴疆、长期建疆要求转化为群众易懂的话语体系，以社会科学普及周推动全民参与社科普及工作的大格局。二是制度建设上实现新突破。出台《自治区社科普及项目管理办法》，社科普及活动、创作以项目形式予以支持，调动参与积极性。三是以构筑中华民族共有精神家园为核心，普及中华优秀传统文化、社会主义核心价值观，立项开展活动不少于100场次，让中华文化认同扎根各族群众心灵。四是聚焦基层社科普及薄弱点，推动优质社科普及资源直达基层，中华优秀传统文化项目、社科普及周项目、“天山英才”社科普及人才项目在南疆基层落地实施。五是不断丰富社科普及活动形式和载体，增强社科普及活动的吸引力。</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1.绩效评价的目的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（1）项目在实施前向项目负责人提供财政支出绩效方面的资金管理信息，促进项目支出严格按照资金管理规定进行。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（2）项目绩效管理财政支出运行提供及时、有效的信息。</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综合来看，通过开展有效的财政支出绩效评价管理，达到改进预算管理、控制节约成本，提高预算资金使用效益的目的。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2.绩效评价的对象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2025年度财政拨款的社会科学普及经费项目。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3.绩效评价的范围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本资金用于普及社会科学知识，传播科学知识、科学思想、科学精神、科学方法；提高我区各族干部群众的思想道德素质和科学文化素质。</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社科普及产品制作。主要用于社科普及出版物（包括报纸、期刊、图书、音像制品、电子出版物、宣传折页、口袋书等）和大众媒体的社科普及宣传（包括报纸专栏和专版、期刊栏目、广播节目、电视栏目、互联网站、科普网页等）；</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（2）社科普及展示。主要用于社科普及展览、展品研制等；</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（3）社科普及活动。主要用于社科普及讲座、报告会、科普交流、科普理论研究等；</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（4）社科普及研修培训。主要用于社科普及培训，提升疆内社科普及工作者能力水平；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（5）社科普及平台建设。</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本次项目绩效评价遵循以下基本原则：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（1）科学公正。绩效评价运用科学合理的方法，按照规范的程序，对项目绩效进行客观、公正的反映。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（2）统筹兼顾。通过单位自评、部门评价和财政评价按个方面，各有侧重，相互衔接。单位自评由项目单位自主实施，即“谁支出、谁自评”。部门评价和财政评价在单位自评的基础上开展。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（3）激励约束。绩效评价结果与预算安排、政策调整、改进管理实质性挂钩，体现奖优罚劣和激励相容导向，有效要安排、低效要压减、无效要问责。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绩效评价框架是开展绩效评价的核心。绩效评价框架包括评价准则、关键评价问题、评价指标、数据来源、数据收集方法等。指标体系建立过程如下：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（1）确定评价指标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采用层次分析法，建立评价指标体系。绩效评价将指标分为项目决策指标、项目过程指标、项目产出指标、项目效益指标四个维度，最终形成一个由多个相互联系的指标组成的多层次指标体系。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（2）确定权重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确定各个指标相对于项目总体绩效的权重分值。在绩效评价指标体系中，项目决策权重为5分，项目过程权重为5分，项目产出权重为50分，项目效益权重为40分。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（3）确定指标标准值</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指标标准值是绩效评价指标的尺度，既要反映同类项目的先进水平，又要符合项目的实际绩效水平。具体采用计划标准等确定此次绩效评价指标标准值。</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总分值100分，根据综合评分结果，评价计分90分-100分（含90分）对应的评分结果级别为优，80-90分（含80分）对应的评分结果级别为良，60-80分（含60分）对应的评分结果级别为中，60分以下对应的评分结果级别为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具体评价指标体系详情见附件1</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绩效评价从项目决策、项目过程、项目产出、项目效益四个维度进行评价。评价对象为项目目标实施情况，  评价核心为资金的支出完成情况和项目的产出效益。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本次评价指标中，既有定性指标又有定量指标，各类指标因考核内容不同和客观标准不同存在较大差异，因此核定具体指标时采用了不同方法，具体评价方法如下：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（1）比较法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通过对绩效目标与实施效果、历史与当期情况，综合分析绩效目标实现程度。对项目最终验收情况与年度绩效目标对比、预算资金执行情况等相关因素进行比较。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（2）因素分析法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综合分析影响绩效目标实现、实施效果的内外因素，评价绩效目标实现程度。通过对项目的开展情况、项目产出数量、成本控制、资金拨付文件及自评报告等相关资料的收集和审核，综合分析各因素对绩效目标实现的影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绩效评价标准通常包括计划标准、行业标准、历史标准等，用于对绩效指标完成情况进行比较。本次评价主要采用了计划标准和行业标准。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1.前期准备。首先成立评价工作组，开展前期调研；其次明确项目绩效目标，设计绩效评价指标体系并确定绩效评价方法；接着确定现场和非现场评价范围，设计资料清单；最后制定评价实施方案并进行论证。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制定绩效评价工作方案，具体包括项目概况、评价思路、方法手段、组织实施、进度安排等。收集项目立项依据、相关会议纪要、实施方案、财政资金分配方案、支付管理情况等相关评价资料并进行梳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3.分析评价。根据收集梳理的资料围绕项目立项、资金落实、业务管理、财务管理、项目产出、项目效益等内容，对照已确定的绩效评价指标进行详细全面的分析评价，逐项打分并形成绩效评价最终结果。</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对社会科学普及经费项目进行客观评价，最终评分结果：总得分为 99分，属于“优”。其中，项目决策类指标权重为20分，得分为 20分，得分率为 20%。项目过程类指标权重为20分，得分为19分，得分率为 19%。项目产出类指标权重为40分，得分为40分，得分率为 40%。项目效益类指标权重为20分，得分为20分，得分率为20%。表1综合评分表</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一级指标</w:t>
      </w:r>
      <w:r>
        <w:rPr>
          <w:rStyle w:val="18"/>
          <w:rFonts w:hint="eastAsia" w:ascii="楷体" w:hAnsi="楷体" w:eastAsia="楷体"/>
          <w:spacing w:val="-4"/>
          <w:sz w:val="32"/>
          <w:szCs w:val="32"/>
        </w:rPr>
        <w:tab/>
        <w:t>分值</w:t>
      </w:r>
      <w:r>
        <w:rPr>
          <w:rStyle w:val="18"/>
          <w:rFonts w:hint="eastAsia" w:ascii="楷体" w:hAnsi="楷体" w:eastAsia="楷体"/>
          <w:spacing w:val="-4"/>
          <w:sz w:val="32"/>
          <w:szCs w:val="32"/>
        </w:rPr>
        <w:tab/>
        <w:t>二级指标</w:t>
      </w:r>
      <w:r>
        <w:rPr>
          <w:rStyle w:val="18"/>
          <w:rFonts w:hint="eastAsia" w:ascii="楷体" w:hAnsi="楷体" w:eastAsia="楷体"/>
          <w:spacing w:val="-4"/>
          <w:sz w:val="32"/>
          <w:szCs w:val="32"/>
        </w:rPr>
        <w:tab/>
        <w:t>三级指标</w:t>
      </w:r>
      <w:r>
        <w:rPr>
          <w:rStyle w:val="18"/>
          <w:rFonts w:hint="eastAsia" w:ascii="楷体" w:hAnsi="楷体" w:eastAsia="楷体"/>
          <w:spacing w:val="-4"/>
          <w:sz w:val="32"/>
          <w:szCs w:val="32"/>
        </w:rPr>
        <w:tab/>
        <w:t>权重</w:t>
      </w:r>
      <w:r>
        <w:rPr>
          <w:rStyle w:val="18"/>
          <w:rFonts w:hint="eastAsia" w:ascii="楷体" w:hAnsi="楷体" w:eastAsia="楷体"/>
          <w:spacing w:val="-4"/>
          <w:sz w:val="32"/>
          <w:szCs w:val="32"/>
        </w:rPr>
        <w:tab/>
        <w:t>目标值</w:t>
      </w:r>
      <w:r>
        <w:rPr>
          <w:rStyle w:val="18"/>
          <w:rFonts w:hint="eastAsia" w:ascii="楷体" w:hAnsi="楷体" w:eastAsia="楷体"/>
          <w:spacing w:val="-4"/>
          <w:sz w:val="32"/>
          <w:szCs w:val="32"/>
        </w:rPr>
        <w:tab/>
        <w:t>业绩值</w:t>
      </w:r>
      <w:r>
        <w:rPr>
          <w:rStyle w:val="18"/>
          <w:rFonts w:hint="eastAsia" w:ascii="楷体" w:hAnsi="楷体" w:eastAsia="楷体"/>
          <w:spacing w:val="-4"/>
          <w:sz w:val="32"/>
          <w:szCs w:val="32"/>
        </w:rPr>
        <w:tab/>
        <w:t>得分率</w:t>
      </w:r>
      <w:r>
        <w:rPr>
          <w:rStyle w:val="18"/>
          <w:rFonts w:hint="eastAsia" w:ascii="楷体" w:hAnsi="楷体" w:eastAsia="楷体"/>
          <w:spacing w:val="-4"/>
          <w:sz w:val="32"/>
          <w:szCs w:val="32"/>
        </w:rPr>
        <w:tab/>
        <w:t>得分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决策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w:t>
      </w:r>
      <w:r>
        <w:rPr>
          <w:rStyle w:val="18"/>
          <w:rFonts w:hint="eastAsia" w:ascii="楷体" w:hAnsi="楷体" w:eastAsia="楷体"/>
          <w:spacing w:val="-4"/>
          <w:sz w:val="32"/>
          <w:szCs w:val="32"/>
        </w:rPr>
        <w:tab/>
        <w:t>20分</w:t>
      </w:r>
      <w:r>
        <w:rPr>
          <w:rStyle w:val="18"/>
          <w:rFonts w:hint="eastAsia" w:ascii="楷体" w:hAnsi="楷体" w:eastAsia="楷体"/>
          <w:spacing w:val="-4"/>
          <w:sz w:val="32"/>
          <w:szCs w:val="32"/>
        </w:rPr>
        <w:tab/>
        <w:t>项目立项　</w:t>
      </w:r>
      <w:r>
        <w:rPr>
          <w:rStyle w:val="18"/>
          <w:rFonts w:hint="eastAsia" w:ascii="楷体" w:hAnsi="楷体" w:eastAsia="楷体"/>
          <w:spacing w:val="-4"/>
          <w:sz w:val="32"/>
          <w:szCs w:val="32"/>
        </w:rPr>
        <w:tab/>
        <w:t>立项依据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充分性</w:t>
      </w:r>
      <w:r>
        <w:rPr>
          <w:rStyle w:val="18"/>
          <w:rFonts w:hint="eastAsia" w:ascii="楷体" w:hAnsi="楷体" w:eastAsia="楷体"/>
          <w:spacing w:val="-4"/>
          <w:sz w:val="32"/>
          <w:szCs w:val="32"/>
        </w:rPr>
        <w:tab/>
        <w:t>3</w:t>
      </w:r>
      <w:r>
        <w:rPr>
          <w:rStyle w:val="18"/>
          <w:rFonts w:hint="eastAsia" w:ascii="楷体" w:hAnsi="楷体" w:eastAsia="楷体"/>
          <w:spacing w:val="-4"/>
          <w:sz w:val="32"/>
          <w:szCs w:val="32"/>
        </w:rPr>
        <w:tab/>
        <w:t>充分</w:t>
      </w:r>
      <w:r>
        <w:rPr>
          <w:rStyle w:val="18"/>
          <w:rFonts w:hint="eastAsia" w:ascii="楷体" w:hAnsi="楷体" w:eastAsia="楷体"/>
          <w:spacing w:val="-4"/>
          <w:sz w:val="32"/>
          <w:szCs w:val="32"/>
        </w:rPr>
        <w:tab/>
        <w:t>充分</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tab/>
        <w:t>3</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立项程序</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规范性</w:t>
      </w:r>
      <w:r>
        <w:rPr>
          <w:rStyle w:val="18"/>
          <w:rFonts w:hint="eastAsia" w:ascii="楷体" w:hAnsi="楷体" w:eastAsia="楷体"/>
          <w:spacing w:val="-4"/>
          <w:sz w:val="32"/>
          <w:szCs w:val="32"/>
        </w:rPr>
        <w:tab/>
        <w:t>3</w:t>
      </w:r>
      <w:r>
        <w:rPr>
          <w:rStyle w:val="18"/>
          <w:rFonts w:hint="eastAsia" w:ascii="楷体" w:hAnsi="楷体" w:eastAsia="楷体"/>
          <w:spacing w:val="-4"/>
          <w:sz w:val="32"/>
          <w:szCs w:val="32"/>
        </w:rPr>
        <w:tab/>
        <w:t>规范</w:t>
      </w:r>
      <w:r>
        <w:rPr>
          <w:rStyle w:val="18"/>
          <w:rFonts w:hint="eastAsia" w:ascii="楷体" w:hAnsi="楷体" w:eastAsia="楷体"/>
          <w:spacing w:val="-4"/>
          <w:sz w:val="32"/>
          <w:szCs w:val="32"/>
        </w:rPr>
        <w:tab/>
        <w:t>规范</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tab/>
        <w:t>3</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绩效目标　</w:t>
      </w:r>
      <w:r>
        <w:rPr>
          <w:rStyle w:val="18"/>
          <w:rFonts w:hint="eastAsia" w:ascii="楷体" w:hAnsi="楷体" w:eastAsia="楷体"/>
          <w:spacing w:val="-4"/>
          <w:sz w:val="32"/>
          <w:szCs w:val="32"/>
        </w:rPr>
        <w:tab/>
        <w:t>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合理性</w:t>
      </w:r>
      <w:r>
        <w:rPr>
          <w:rStyle w:val="18"/>
          <w:rFonts w:hint="eastAsia" w:ascii="楷体" w:hAnsi="楷体" w:eastAsia="楷体"/>
          <w:spacing w:val="-4"/>
          <w:sz w:val="32"/>
          <w:szCs w:val="32"/>
        </w:rPr>
        <w:tab/>
        <w:t>4</w:t>
      </w:r>
      <w:r>
        <w:rPr>
          <w:rStyle w:val="18"/>
          <w:rFonts w:hint="eastAsia" w:ascii="楷体" w:hAnsi="楷体" w:eastAsia="楷体"/>
          <w:spacing w:val="-4"/>
          <w:sz w:val="32"/>
          <w:szCs w:val="32"/>
        </w:rPr>
        <w:tab/>
        <w:t>合理</w:t>
      </w:r>
      <w:r>
        <w:rPr>
          <w:rStyle w:val="18"/>
          <w:rFonts w:hint="eastAsia" w:ascii="楷体" w:hAnsi="楷体" w:eastAsia="楷体"/>
          <w:spacing w:val="-4"/>
          <w:sz w:val="32"/>
          <w:szCs w:val="32"/>
        </w:rPr>
        <w:tab/>
        <w:t>合理</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tab/>
        <w:t>4</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绩效指标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明确性</w:t>
      </w:r>
      <w:r>
        <w:rPr>
          <w:rStyle w:val="18"/>
          <w:rFonts w:hint="eastAsia" w:ascii="楷体" w:hAnsi="楷体" w:eastAsia="楷体"/>
          <w:spacing w:val="-4"/>
          <w:sz w:val="32"/>
          <w:szCs w:val="32"/>
        </w:rPr>
        <w:tab/>
        <w:t>3</w:t>
      </w:r>
      <w:r>
        <w:rPr>
          <w:rStyle w:val="18"/>
          <w:rFonts w:hint="eastAsia" w:ascii="楷体" w:hAnsi="楷体" w:eastAsia="楷体"/>
          <w:spacing w:val="-4"/>
          <w:sz w:val="32"/>
          <w:szCs w:val="32"/>
        </w:rPr>
        <w:tab/>
        <w:t>明确</w:t>
      </w:r>
      <w:r>
        <w:rPr>
          <w:rStyle w:val="18"/>
          <w:rFonts w:hint="eastAsia" w:ascii="楷体" w:hAnsi="楷体" w:eastAsia="楷体"/>
          <w:spacing w:val="-4"/>
          <w:sz w:val="32"/>
          <w:szCs w:val="32"/>
        </w:rPr>
        <w:tab/>
        <w:t>明确</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tab/>
        <w:t>3</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资金投入</w:t>
      </w:r>
      <w:r>
        <w:rPr>
          <w:rStyle w:val="18"/>
          <w:rFonts w:hint="eastAsia" w:ascii="楷体" w:hAnsi="楷体" w:eastAsia="楷体"/>
          <w:spacing w:val="-4"/>
          <w:sz w:val="32"/>
          <w:szCs w:val="32"/>
        </w:rPr>
        <w:tab/>
        <w:t>预算编制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科学性</w:t>
      </w:r>
      <w:r>
        <w:rPr>
          <w:rStyle w:val="18"/>
          <w:rFonts w:hint="eastAsia" w:ascii="楷体" w:hAnsi="楷体" w:eastAsia="楷体"/>
          <w:spacing w:val="-4"/>
          <w:sz w:val="32"/>
          <w:szCs w:val="32"/>
        </w:rPr>
        <w:tab/>
        <w:t>4</w:t>
      </w:r>
      <w:r>
        <w:rPr>
          <w:rStyle w:val="18"/>
          <w:rFonts w:hint="eastAsia" w:ascii="楷体" w:hAnsi="楷体" w:eastAsia="楷体"/>
          <w:spacing w:val="-4"/>
          <w:sz w:val="32"/>
          <w:szCs w:val="32"/>
        </w:rPr>
        <w:tab/>
        <w:t>科学</w:t>
      </w:r>
      <w:r>
        <w:rPr>
          <w:rStyle w:val="18"/>
          <w:rFonts w:hint="eastAsia" w:ascii="楷体" w:hAnsi="楷体" w:eastAsia="楷体"/>
          <w:spacing w:val="-4"/>
          <w:sz w:val="32"/>
          <w:szCs w:val="32"/>
        </w:rPr>
        <w:tab/>
        <w:t>科学</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tab/>
        <w:t>4</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资金分配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合理性</w:t>
      </w:r>
      <w:r>
        <w:rPr>
          <w:rStyle w:val="18"/>
          <w:rFonts w:hint="eastAsia" w:ascii="楷体" w:hAnsi="楷体" w:eastAsia="楷体"/>
          <w:spacing w:val="-4"/>
          <w:sz w:val="32"/>
          <w:szCs w:val="32"/>
        </w:rPr>
        <w:tab/>
        <w:t>3</w:t>
      </w:r>
      <w:r>
        <w:rPr>
          <w:rStyle w:val="18"/>
          <w:rFonts w:hint="eastAsia" w:ascii="楷体" w:hAnsi="楷体" w:eastAsia="楷体"/>
          <w:spacing w:val="-4"/>
          <w:sz w:val="32"/>
          <w:szCs w:val="32"/>
        </w:rPr>
        <w:tab/>
        <w:t>合理</w:t>
      </w:r>
      <w:r>
        <w:rPr>
          <w:rStyle w:val="18"/>
          <w:rFonts w:hint="eastAsia" w:ascii="楷体" w:hAnsi="楷体" w:eastAsia="楷体"/>
          <w:spacing w:val="-4"/>
          <w:sz w:val="32"/>
          <w:szCs w:val="32"/>
        </w:rPr>
        <w:tab/>
        <w:t>合理</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tab/>
        <w:t>3</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过程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w:t>
      </w:r>
      <w:r>
        <w:rPr>
          <w:rStyle w:val="18"/>
          <w:rFonts w:hint="eastAsia" w:ascii="楷体" w:hAnsi="楷体" w:eastAsia="楷体"/>
          <w:spacing w:val="-4"/>
          <w:sz w:val="32"/>
          <w:szCs w:val="32"/>
        </w:rPr>
        <w:tab/>
        <w:t>20分</w:t>
      </w:r>
      <w:r>
        <w:rPr>
          <w:rStyle w:val="18"/>
          <w:rFonts w:hint="eastAsia" w:ascii="楷体" w:hAnsi="楷体" w:eastAsia="楷体"/>
          <w:spacing w:val="-4"/>
          <w:sz w:val="32"/>
          <w:szCs w:val="32"/>
        </w:rPr>
        <w:tab/>
        <w:t>资金管理</w:t>
      </w:r>
      <w:r>
        <w:rPr>
          <w:rStyle w:val="18"/>
          <w:rFonts w:hint="eastAsia" w:ascii="楷体" w:hAnsi="楷体" w:eastAsia="楷体"/>
          <w:spacing w:val="-4"/>
          <w:sz w:val="32"/>
          <w:szCs w:val="32"/>
        </w:rPr>
        <w:tab/>
        <w:t>资金到位率</w:t>
      </w:r>
      <w:r>
        <w:rPr>
          <w:rStyle w:val="18"/>
          <w:rFonts w:hint="eastAsia" w:ascii="楷体" w:hAnsi="楷体" w:eastAsia="楷体"/>
          <w:spacing w:val="-4"/>
          <w:sz w:val="32"/>
          <w:szCs w:val="32"/>
        </w:rPr>
        <w:tab/>
        <w:t>4</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tab/>
        <w:t>4</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预算执行率</w:t>
      </w:r>
      <w:r>
        <w:rPr>
          <w:rStyle w:val="18"/>
          <w:rFonts w:hint="eastAsia" w:ascii="楷体" w:hAnsi="楷体" w:eastAsia="楷体"/>
          <w:spacing w:val="-4"/>
          <w:sz w:val="32"/>
          <w:szCs w:val="32"/>
        </w:rPr>
        <w:tab/>
        <w:t>4</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tab/>
        <w:t>4</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资金管理</w:t>
      </w:r>
      <w:r>
        <w:rPr>
          <w:rStyle w:val="18"/>
          <w:rFonts w:hint="eastAsia" w:ascii="楷体" w:hAnsi="楷体" w:eastAsia="楷体"/>
          <w:spacing w:val="-4"/>
          <w:sz w:val="32"/>
          <w:szCs w:val="32"/>
        </w:rPr>
        <w:tab/>
        <w:t>资金使用</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合规性</w:t>
      </w:r>
      <w:r>
        <w:rPr>
          <w:rStyle w:val="18"/>
          <w:rFonts w:hint="eastAsia" w:ascii="楷体" w:hAnsi="楷体" w:eastAsia="楷体"/>
          <w:spacing w:val="-4"/>
          <w:sz w:val="32"/>
          <w:szCs w:val="32"/>
        </w:rPr>
        <w:tab/>
        <w:t>4</w:t>
      </w:r>
      <w:r>
        <w:rPr>
          <w:rStyle w:val="18"/>
          <w:rFonts w:hint="eastAsia" w:ascii="楷体" w:hAnsi="楷体" w:eastAsia="楷体"/>
          <w:spacing w:val="-4"/>
          <w:sz w:val="32"/>
          <w:szCs w:val="32"/>
        </w:rPr>
        <w:tab/>
        <w:t>合格</w:t>
      </w:r>
      <w:r>
        <w:rPr>
          <w:rStyle w:val="18"/>
          <w:rFonts w:hint="eastAsia" w:ascii="楷体" w:hAnsi="楷体" w:eastAsia="楷体"/>
          <w:spacing w:val="-4"/>
          <w:sz w:val="32"/>
          <w:szCs w:val="32"/>
        </w:rPr>
        <w:tab/>
        <w:t>合格</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tab/>
        <w:t>4</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组织实施</w:t>
      </w:r>
      <w:r>
        <w:rPr>
          <w:rStyle w:val="18"/>
          <w:rFonts w:hint="eastAsia" w:ascii="楷体" w:hAnsi="楷体" w:eastAsia="楷体"/>
          <w:spacing w:val="-4"/>
          <w:sz w:val="32"/>
          <w:szCs w:val="32"/>
        </w:rPr>
        <w:tab/>
        <w:t>管理制度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健全性</w:t>
      </w:r>
      <w:r>
        <w:rPr>
          <w:rStyle w:val="18"/>
          <w:rFonts w:hint="eastAsia" w:ascii="楷体" w:hAnsi="楷体" w:eastAsia="楷体"/>
          <w:spacing w:val="-4"/>
          <w:sz w:val="32"/>
          <w:szCs w:val="32"/>
        </w:rPr>
        <w:tab/>
        <w:t>4</w:t>
      </w:r>
      <w:r>
        <w:rPr>
          <w:rStyle w:val="18"/>
          <w:rFonts w:hint="eastAsia" w:ascii="楷体" w:hAnsi="楷体" w:eastAsia="楷体"/>
          <w:spacing w:val="-4"/>
          <w:sz w:val="32"/>
          <w:szCs w:val="32"/>
        </w:rPr>
        <w:tab/>
        <w:t>健全</w:t>
      </w:r>
      <w:r>
        <w:rPr>
          <w:rStyle w:val="18"/>
          <w:rFonts w:hint="eastAsia" w:ascii="楷体" w:hAnsi="楷体" w:eastAsia="楷体"/>
          <w:spacing w:val="-4"/>
          <w:sz w:val="32"/>
          <w:szCs w:val="32"/>
        </w:rPr>
        <w:tab/>
        <w:t>健全</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tab/>
        <w:t>4</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制度执行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有效性</w:t>
      </w:r>
      <w:r>
        <w:rPr>
          <w:rStyle w:val="18"/>
          <w:rFonts w:hint="eastAsia" w:ascii="楷体" w:hAnsi="楷体" w:eastAsia="楷体"/>
          <w:spacing w:val="-4"/>
          <w:sz w:val="32"/>
          <w:szCs w:val="32"/>
        </w:rPr>
        <w:tab/>
        <w:t>4</w:t>
      </w:r>
      <w:r>
        <w:rPr>
          <w:rStyle w:val="18"/>
          <w:rFonts w:hint="eastAsia" w:ascii="楷体" w:hAnsi="楷体" w:eastAsia="楷体"/>
          <w:spacing w:val="-4"/>
          <w:sz w:val="32"/>
          <w:szCs w:val="32"/>
        </w:rPr>
        <w:tab/>
        <w:t>有效</w:t>
      </w:r>
      <w:r>
        <w:rPr>
          <w:rStyle w:val="18"/>
          <w:rFonts w:hint="eastAsia" w:ascii="楷体" w:hAnsi="楷体" w:eastAsia="楷体"/>
          <w:spacing w:val="-4"/>
          <w:sz w:val="32"/>
          <w:szCs w:val="32"/>
        </w:rPr>
        <w:tab/>
        <w:t>有效</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tab/>
        <w:t>4</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产出</w:t>
      </w:r>
      <w:r>
        <w:rPr>
          <w:rStyle w:val="18"/>
          <w:rFonts w:hint="eastAsia" w:ascii="楷体" w:hAnsi="楷体" w:eastAsia="楷体"/>
          <w:spacing w:val="-4"/>
          <w:sz w:val="32"/>
          <w:szCs w:val="32"/>
        </w:rPr>
        <w:tab/>
        <w:t>40分</w:t>
      </w:r>
      <w:r>
        <w:rPr>
          <w:rStyle w:val="18"/>
          <w:rFonts w:hint="eastAsia" w:ascii="楷体" w:hAnsi="楷体" w:eastAsia="楷体"/>
          <w:spacing w:val="-4"/>
          <w:sz w:val="32"/>
          <w:szCs w:val="32"/>
        </w:rPr>
        <w:tab/>
        <w:t>产出数量</w:t>
      </w:r>
      <w:r>
        <w:rPr>
          <w:rStyle w:val="18"/>
          <w:rFonts w:hint="eastAsia" w:ascii="楷体" w:hAnsi="楷体" w:eastAsia="楷体"/>
          <w:spacing w:val="-4"/>
          <w:sz w:val="32"/>
          <w:szCs w:val="32"/>
        </w:rPr>
        <w:tab/>
        <w:t>实际完成率</w:t>
      </w:r>
      <w:r>
        <w:rPr>
          <w:rStyle w:val="18"/>
          <w:rFonts w:hint="eastAsia" w:ascii="楷体" w:hAnsi="楷体" w:eastAsia="楷体"/>
          <w:spacing w:val="-4"/>
          <w:sz w:val="32"/>
          <w:szCs w:val="32"/>
        </w:rPr>
        <w:tab/>
        <w:t>10</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tab/>
        <w:t>10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产出质量</w:t>
      </w:r>
      <w:r>
        <w:rPr>
          <w:rStyle w:val="18"/>
          <w:rFonts w:hint="eastAsia" w:ascii="楷体" w:hAnsi="楷体" w:eastAsia="楷体"/>
          <w:spacing w:val="-4"/>
          <w:sz w:val="32"/>
          <w:szCs w:val="32"/>
        </w:rPr>
        <w:tab/>
        <w:t>质量达标率</w:t>
      </w:r>
      <w:r>
        <w:rPr>
          <w:rStyle w:val="18"/>
          <w:rFonts w:hint="eastAsia" w:ascii="楷体" w:hAnsi="楷体" w:eastAsia="楷体"/>
          <w:spacing w:val="-4"/>
          <w:sz w:val="32"/>
          <w:szCs w:val="32"/>
        </w:rPr>
        <w:tab/>
        <w:t>10</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tab/>
        <w:t>10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产出时效</w:t>
      </w:r>
      <w:r>
        <w:rPr>
          <w:rStyle w:val="18"/>
          <w:rFonts w:hint="eastAsia" w:ascii="楷体" w:hAnsi="楷体" w:eastAsia="楷体"/>
          <w:spacing w:val="-4"/>
          <w:sz w:val="32"/>
          <w:szCs w:val="32"/>
        </w:rPr>
        <w:tab/>
        <w:t>完成及时性</w:t>
      </w:r>
      <w:r>
        <w:rPr>
          <w:rStyle w:val="18"/>
          <w:rFonts w:hint="eastAsia" w:ascii="楷体" w:hAnsi="楷体" w:eastAsia="楷体"/>
          <w:spacing w:val="-4"/>
          <w:sz w:val="32"/>
          <w:szCs w:val="32"/>
        </w:rPr>
        <w:tab/>
        <w:t>10</w:t>
      </w:r>
      <w:r>
        <w:rPr>
          <w:rStyle w:val="18"/>
          <w:rFonts w:hint="eastAsia" w:ascii="楷体" w:hAnsi="楷体" w:eastAsia="楷体"/>
          <w:spacing w:val="-4"/>
          <w:sz w:val="32"/>
          <w:szCs w:val="32"/>
        </w:rPr>
        <w:tab/>
        <w:t>及时</w:t>
      </w:r>
      <w:r>
        <w:rPr>
          <w:rStyle w:val="18"/>
          <w:rFonts w:hint="eastAsia" w:ascii="楷体" w:hAnsi="楷体" w:eastAsia="楷体"/>
          <w:spacing w:val="-4"/>
          <w:sz w:val="32"/>
          <w:szCs w:val="32"/>
        </w:rPr>
        <w:tab/>
        <w:t>及时</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tab/>
        <w:t>10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产出成本</w:t>
      </w:r>
      <w:r>
        <w:rPr>
          <w:rStyle w:val="18"/>
          <w:rFonts w:hint="eastAsia" w:ascii="楷体" w:hAnsi="楷体" w:eastAsia="楷体"/>
          <w:spacing w:val="-4"/>
          <w:sz w:val="32"/>
          <w:szCs w:val="32"/>
        </w:rPr>
        <w:tab/>
        <w:t>成本节约率</w:t>
      </w:r>
      <w:r>
        <w:rPr>
          <w:rStyle w:val="18"/>
          <w:rFonts w:hint="eastAsia" w:ascii="楷体" w:hAnsi="楷体" w:eastAsia="楷体"/>
          <w:spacing w:val="-4"/>
          <w:sz w:val="32"/>
          <w:szCs w:val="32"/>
        </w:rPr>
        <w:tab/>
        <w:t>10</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tab/>
        <w:t>10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效益　</w:t>
      </w:r>
      <w:r>
        <w:rPr>
          <w:rStyle w:val="18"/>
          <w:rFonts w:hint="eastAsia" w:ascii="楷体" w:hAnsi="楷体" w:eastAsia="楷体"/>
          <w:spacing w:val="-4"/>
          <w:sz w:val="32"/>
          <w:szCs w:val="32"/>
        </w:rPr>
        <w:tab/>
        <w:t>20分</w:t>
      </w:r>
      <w:r>
        <w:rPr>
          <w:rStyle w:val="18"/>
          <w:rFonts w:hint="eastAsia" w:ascii="楷体" w:hAnsi="楷体" w:eastAsia="楷体"/>
          <w:spacing w:val="-4"/>
          <w:sz w:val="32"/>
          <w:szCs w:val="32"/>
        </w:rPr>
        <w:tab/>
        <w:t>项目效益　</w:t>
      </w:r>
      <w:r>
        <w:rPr>
          <w:rStyle w:val="18"/>
          <w:rFonts w:hint="eastAsia" w:ascii="楷体" w:hAnsi="楷体" w:eastAsia="楷体"/>
          <w:spacing w:val="-4"/>
          <w:sz w:val="32"/>
          <w:szCs w:val="32"/>
        </w:rPr>
        <w:tab/>
        <w:t>实施效益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（社会效益、经济效益、可持续效益）</w:t>
      </w:r>
      <w:r>
        <w:rPr>
          <w:rStyle w:val="18"/>
          <w:rFonts w:hint="eastAsia" w:ascii="楷体" w:hAnsi="楷体" w:eastAsia="楷体"/>
          <w:spacing w:val="-4"/>
          <w:sz w:val="32"/>
          <w:szCs w:val="32"/>
        </w:rPr>
        <w:tab/>
        <w:t>15</w:t>
      </w:r>
      <w:r>
        <w:rPr>
          <w:rStyle w:val="18"/>
          <w:rFonts w:hint="eastAsia" w:ascii="楷体" w:hAnsi="楷体" w:eastAsia="楷体"/>
          <w:spacing w:val="-4"/>
          <w:sz w:val="32"/>
          <w:szCs w:val="32"/>
        </w:rPr>
        <w:tab/>
        <w:t>有效</w:t>
      </w:r>
      <w:r>
        <w:rPr>
          <w:rStyle w:val="18"/>
          <w:rFonts w:hint="eastAsia" w:ascii="楷体" w:hAnsi="楷体" w:eastAsia="楷体"/>
          <w:spacing w:val="-4"/>
          <w:sz w:val="32"/>
          <w:szCs w:val="32"/>
        </w:rPr>
        <w:tab/>
        <w:t>有效</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tab/>
        <w:t>15</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满意度</w:t>
      </w:r>
      <w:r>
        <w:rPr>
          <w:rStyle w:val="18"/>
          <w:rFonts w:hint="eastAsia" w:ascii="楷体" w:hAnsi="楷体" w:eastAsia="楷体"/>
          <w:spacing w:val="-4"/>
          <w:sz w:val="32"/>
          <w:szCs w:val="32"/>
        </w:rPr>
        <w:tab/>
        <w:t>5</w:t>
      </w:r>
      <w:r>
        <w:rPr>
          <w:rStyle w:val="18"/>
          <w:rFonts w:hint="eastAsia" w:ascii="楷体" w:hAnsi="楷体" w:eastAsia="楷体"/>
          <w:spacing w:val="-4"/>
          <w:sz w:val="32"/>
          <w:szCs w:val="32"/>
        </w:rPr>
        <w:tab/>
        <w:t>≥95%</w:t>
      </w:r>
      <w:r>
        <w:rPr>
          <w:rStyle w:val="18"/>
          <w:rFonts w:hint="eastAsia" w:ascii="楷体" w:hAnsi="楷体" w:eastAsia="楷体"/>
          <w:spacing w:val="-4"/>
          <w:sz w:val="32"/>
          <w:szCs w:val="32"/>
        </w:rPr>
        <w:tab/>
        <w:t xml:space="preserve">  95%</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tab/>
        <w:t>5</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社科普及周项目的确定。根据《新疆维吾尔自治区社会科学普及条例》第九条规定，“每年五月的第三周为自治区社会科学普及周。在社会科学普及周期间，各级人民政府、有关部门和单位应当集中组织开展形式多样、贴近发展、贴近实际、贴近生活、贴近群众的社会科学普及宣传活动”。自治区社科联开展此次社科普及周活动，并以社会科学普及周为示范，带动各地、各单位常态化开展社会科学普及活动。</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基层社科普及工作。一是全面贯彻落实《新疆维吾尔自治区社会科学普及条例》要求，通过多种宣讲形式，把讲理论、讲政策、讲故事结合起来，深入开展面向基层、面向群众的对象化、分众化、互动化、通俗化宣讲，让人民群众听得懂、能领会、可落实。组织开展“中华优秀传统文化进高校”项目，重点突出中华优秀传统文化内容和形式创新，充分发挥高校现代文明高地作用。遴选重点项目予以支持，同时与南疆五地州市社科联紧密配合，对具备条件的活动项目，以轻骑兵、“小分队”的形式将优秀社科普及活动送到基层、送到群众身边，有效培育现代文明，提升基层群众社科文化素养。二是按照《新疆维吾尔自治区社会科学普及条例》地十四条：“社科联要履行组织和推动本行政区域内社会科学普及活动、相关学术研究、对外交流和人才培训的职责;”要求，组织开展社科普及能力提升研修班。同时选拔优秀社科普及基地讲解员参加在浙江举办的第四届各省区市社科普及基地讲解员大赛。</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社科普及产品（活动）采购、制作、编辑出版、展示。《新疆维吾尔自治区社会科学普及条例》中规定：“社会教育的主要形式包括：编写、制作、出版社会科学普及图书、音像制品、电子出版物和网络出版物，制作和发布社会科学普及公益广告;利用各类媒体普及社会科学知识和开展其他形式的社会科学普及活动”。一是举办第三届（2025）新疆动漫节，充分迎合青少年特点选取切入点。利用动漫在青少年群体中具有广泛的影响力。结合“Z世代”青年的特性，充分利用动漫对青少年群众尤其是少数民族青少年极具吸引力的特点，以“线上+线下”的方式，推动开展优质动漫作品创作，在活动中让文化认同更入心、更持久、更有力量。二是组织开展全区农牧民讲故事大赛，在阿克苏新和县举办半决赛和决赛，共42组选手讲述农牧民自己的故事，在推动国家通用语言学习的同时有效促进南疆现代文明培育</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社科普及平台建设。《新疆维吾尔自治区社会科学普及工作调料》第三十二条规定：“社会科学界联合会应当通过数字化、信息化等技术手段，建设信息化、网络化社会科学普及平台，推动社会科学普及资源的利用和共享。”因此组织开展社科普及平台建设</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自治区社科联社会科学普及经费项目立项符合法律法规、相关政策及部门职责，能反映考核项目立项依据情况。依据《新疆维吾尔自治区社会科学普及条例》开展社会科学普及工作，项目申请、设立过程符合相关要求，推动社会科学普及工作开展以及经费的使用细化到各个环节，政策制定详细，使用程序规范，目标设置合理，符合客观实际，为坚持围绕中心、服务大局，增强社科普及影响力提供了正确决策部署。</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严格按照预期绩效目标执行预算资金。项目资金使用符合相关的财务管理制度规定。结合2025年度社会科学普及工作实际情况，工作开展有计划有措施，有过程记录，并确保及时落实。项目支出手续完备，有关资料整理归档，保证社会科学普及各项活动正常有序开展。本单位财务和业务管理制度健全，项目实施过程中规范使用资金，监督资金使用进度，严格执行专款专用。</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（1)数量指标方面</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开展社科普及活动次数&gt;=100场，实际完成值为103场，各地各单位陆续推出各类社科普及活动2000余项，其中社科联支持开展活动103场，完成率103%。</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社科普及产品展览展示项目数量&gt;=100项，实际完成值为105项，动漫节共创作优秀动漫作品49部，动漫作品征集共评出获奖作品56部，在新疆动漫节线下活动中对创作和征集作品开展集中展示。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（2）质量指标方面</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社科普及活动地州覆盖面&gt;=95%，实际完成值为100%。在新疆社会科学普及周、新疆动漫节活动中立项支持项目覆盖14个地州，覆盖率100%</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科普活动覆盖人群范围≧50万，实际完成值位100万人次，指标完成率200%</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社科普及宣传群众满意度预期指标值≧95％，实际完成值≧98％，完成率103%。</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lang w:eastAsia="zh-CN"/>
        </w:rPr>
        <w:t>五</w:t>
      </w:r>
      <w:r>
        <w:rPr>
          <w:rStyle w:val="18"/>
          <w:rFonts w:hint="eastAsia" w:ascii="黑体" w:hAnsi="黑体" w:eastAsia="黑体"/>
          <w:b w:val="0"/>
          <w:spacing w:val="-4"/>
          <w:sz w:val="32"/>
          <w:szCs w:val="32"/>
        </w:rPr>
        <w:t>、</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是加强顶层设计，推动社科普及项目化。找到社会科学普及工作中“牵一发而动全身”的关键问题，出台《自治区社会科学普及项目管理办法（试行）》，第三届动漫节、社科普及周、中华优秀传统文化进基层等项目共接到各类申报1184项，经评审立项115项。经过一年的项目化管理改革，社科普及从原来给资金都很难调动资源到争相申报，通过整合资源、创新形式、精准发力，以项目带动的形式增强社科普及的吸引力、感染力和辐射力。</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是抓好社科普及人才队伍建设这个关键。抓好基层社科普及队伍关键主体。在巴州、伊犁两地分别举办南北疆基层社科普及工作推进会暨基层社科联主席、社科普及基地负责人专题培训班，全疆291名基层社科普及工作者参训。通过授课+研讨+调研的模式，借助新疆社会科学普及周、新疆动漫节等实际案例，持续带动基层社科联高质量完成社科普及工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三是以社科普及品牌化推动社科普及影响力提升。一是以科普周带动立体品牌矩阵。2025年新疆社会科学普及周，采取“1+14+N”的形式开展，自治区、社会科学普及工作联席会议成员单位、地（州、市）、县（市、区）依托社科普及项目为牵引，开展社科普及活动2600余场次，创作社科普及作品1000余部，线上覆盖各族网民2200余万人次，线下覆盖各族群众300余万人次，为“大庆之年”营造了团结奋进、昂扬向上的良好社会氛围。二是全区农牧民讲故事大赛掀起社科热潮。采用“乡镇海选、县市初赛、地区复赛、自治区决赛”的形式层层选拔，全疆14个地州、96个县市积极响应，超过万名农牧民参与其中，活动将南疆作为工作重点，引导广大农牧民学用国家通用语言，进一步增强法治意识，改变陈规陋习，提升人文素养和思想道德水平，更好融入现代文明生活。总决赛联动环球网、新疆广播电视台、石榴云客户端等15个平台同步直播，直播观看人数突破500万人次。三是新疆动漫节再创佳绩。作品创作及征集方面，围绕自治区成立70周年等五大方向设19个专题，产出绘本超1800页、动画超150分钟。以“我心中那抹中国红”征集大赛唤醒红色情结，全国13个省区及疆内14地州共提交作品680余件。线下活动首次尝试在商超举办，3500㎡展区设32个展位，吸引多地社科联、高校及本土企业超10万人参与。VR互动、动漫配音秀、Cosplay舞台剧等体验项目人气火爆。传播方面，利用近4000块户外大屏，联动32家主流媒体及自媒体矩阵，人民网开设专栏，发布报道超1000篇（部）次，全网曝光量破5000万人次，创历史新高。 </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（1）对项目决策的建议。社科普及的确定要聚焦社科普及的重点和薄弱环节，聚焦自治区党委、政府赋予的主要工作职能，科学设置项目。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2）对于预算安排与执行的建议。一是近平总书记对新时代中国科普工作提出了“科技创新、科学普及是实现创新发展的两翼，要把科学普及放在与科技创新同等重要的位置”的要求。中共中央印发的《关于加快构建中国特色哲学社会科学的意见》《国家“十四五”时期哲学社会科学发展规划》、新修订的《中华人民共和国科学技术普及法》都对推进社科普及工作做出了具体的部署。自治区党委编制工作委员会在社科普及部挂牌南疆工作部，社科普及工作又有新的职能，社科普及活动更多、覆盖面更广，要求更高，在这种情况下应当充分保障社科普及资金，整体预算不能压缩。二是新疆动漫节作为社科普及的重点活动依靠文化润疆资金予以保障，项目的规划性受到影响，建议纳入财政预算，建立长效经费保障机制。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（3）对资金管理的建议。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（4）项目管理的建议。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进一步加强对绩效管理工作的组织领导。项目执行方需要不断增强主动控制成本、节约开支的意识，继续加强项目实施监督和绩效监控，提升工作质量。</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七</w:t>
      </w:r>
      <w:r>
        <w:rPr>
          <w:rStyle w:val="18"/>
          <w:rFonts w:hint="eastAsia" w:ascii="黑体" w:hAnsi="黑体" w:eastAsia="黑体"/>
          <w:b w:val="0"/>
          <w:spacing w:val="-4"/>
          <w:sz w:val="32"/>
          <w:szCs w:val="32"/>
        </w:rPr>
        <w:t>、其他需要说明的问题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2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958120B"/>
    <w:rsid w:val="0CB44F22"/>
    <w:rsid w:val="4C3D1751"/>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113</Words>
  <Characters>648</Characters>
  <Lines>5</Lines>
  <Paragraphs>1</Paragraphs>
  <TotalTime>0</TotalTime>
  <ScaleCrop>false</ScaleCrop>
  <LinksUpToDate>false</LinksUpToDate>
  <CharactersWithSpaces>760</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user</cp:lastModifiedBy>
  <cp:lastPrinted>2018-12-31T10:56:00Z</cp:lastPrinted>
  <dcterms:modified xsi:type="dcterms:W3CDTF">2026-08-10T09:56:58Z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3D25225752B747BDBA02E4224629616C</vt:lpwstr>
  </property>
</Properties>
</file>