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jc w:val="center"/>
        <w:rPr>
          <w:rFonts w:hint="eastAsia" w:hAnsi="宋体" w:eastAsia="仿宋_GB2312" w:cs="宋体"/>
          <w:kern w:val="0"/>
          <w:sz w:val="36"/>
          <w:szCs w:val="36"/>
          <w:lang w:eastAsia="zh-CN"/>
        </w:rPr>
      </w:pPr>
      <w:r>
        <w:rPr>
          <w:rFonts w:hint="eastAsia" w:hAnsi="宋体" w:eastAsia="仿宋_GB2312" w:cs="宋体"/>
          <w:kern w:val="0"/>
          <w:sz w:val="36"/>
          <w:szCs w:val="36"/>
        </w:rPr>
        <w:t>部门单位名称（公章）：</w:t>
      </w:r>
      <w:r>
        <w:rPr>
          <w:rFonts w:hint="eastAsia" w:hAnsi="宋体" w:eastAsia="仿宋_GB2312" w:cs="宋体"/>
          <w:kern w:val="0"/>
          <w:sz w:val="36"/>
          <w:szCs w:val="36"/>
          <w:lang w:eastAsia="zh-CN"/>
        </w:rPr>
        <w:t>自治区社会科学界联合会</w:t>
      </w:r>
    </w:p>
    <w:p>
      <w:pPr>
        <w:spacing w:line="700" w:lineRule="exact"/>
        <w:ind w:firstLine="1922" w:firstLineChars="534"/>
        <w:jc w:val="both"/>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700" w:lineRule="exact"/>
        <w:jc w:val="left"/>
        <w:rPr>
          <w:rFonts w:hAnsi="宋体" w:eastAsia="仿宋_GB2312" w:cs="宋体"/>
          <w:kern w:val="0"/>
          <w:sz w:val="36"/>
          <w:szCs w:val="36"/>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color w:val="333333"/>
          <w:sz w:val="32"/>
          <w:szCs w:val="32"/>
          <w:lang w:bidi="ar"/>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基本</w:t>
      </w:r>
      <w:r>
        <w:rPr>
          <w:rFonts w:hint="eastAsia" w:ascii="黑体" w:hAnsi="黑体" w:eastAsia="黑体" w:cs="黑体"/>
          <w:b w:val="0"/>
          <w:bCs/>
          <w:color w:val="333333"/>
          <w:sz w:val="32"/>
          <w:szCs w:val="32"/>
          <w:lang w:bidi="ar"/>
        </w:rPr>
        <w:t>概况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color w:val="333333"/>
          <w:sz w:val="32"/>
          <w:szCs w:val="32"/>
          <w:lang w:bidi="ar"/>
        </w:rPr>
      </w:pPr>
      <w:r>
        <w:rPr>
          <w:rFonts w:hint="eastAsia" w:ascii="仿宋_GB2312" w:hAnsi="仿宋_GB2312" w:eastAsia="仿宋_GB2312" w:cs="仿宋_GB2312"/>
          <w:b w:val="0"/>
          <w:bCs/>
          <w:sz w:val="32"/>
          <w:szCs w:val="32"/>
        </w:rPr>
        <w:t>部门单位基本情况</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自治区社科联是自治区党委领导下的学术性群众团体，是代表自治区党委、政府联系全区哲学社会科学工作者的桥梁和纽带。主要职责是联系团结全区哲学社会科学“五路大军”（高校、党校系统、社科院及各科研院所、部队及兵团院校、党政部门研究机构），做好“四个服务”（为哲学社会科学工作者服务，为新时代党的治疆方略服务，为提高全民人文社会科学素质服务，为党和政府决策服务）。</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自治区社科联无下属预算单位，第六届委员会设有主席1名、专职副主席4名、兼职副主席6名、常委27名，共有委员181名。内设机构有办公室、机关党委（组织人事部)、学会部（民办社科部）、科普部、评奖办5个部室和治疆方略理论与实践研究中心、《新疆社科论坛》杂志社2个事业单位。核定编制57个，其中行政编制33名（含5名工勤编制）、事业编制24人。</w:t>
      </w:r>
      <w:bookmarkStart w:id="0" w:name="_Hlk43849111"/>
      <w:bookmarkEnd w:id="0"/>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部门单位年度重点工作</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jc w:val="both"/>
        <w:textAlignment w:val="auto"/>
        <w:rPr>
          <w:rFonts w:hint="eastAsia" w:ascii="楷体" w:hAnsi="楷体" w:eastAsia="楷体" w:cs="楷体"/>
          <w:b w:val="0"/>
          <w:bCs/>
          <w:sz w:val="32"/>
          <w:szCs w:val="32"/>
        </w:rPr>
      </w:pPr>
      <w:r>
        <w:rPr>
          <w:rFonts w:hint="eastAsia" w:ascii="仿宋_GB2312" w:hAnsi="仿宋_GB2312" w:eastAsia="仿宋_GB2312" w:cs="仿宋_GB2312"/>
          <w:b w:val="0"/>
          <w:bCs/>
          <w:sz w:val="32"/>
          <w:szCs w:val="32"/>
        </w:rPr>
        <w:t>2024年，在自治区党委、政府的正确领导下，自治区社科联坚持以习近平新时代中国特色社会主义思想为指导，深入学习贯彻党的二十大和二十届二中、三中全会精神，完整准确全面贯彻新时代党的治疆方略，以党建引领哲学社会科学事业高质量发展，加强外联内合，坚持借力引智，推动主责主业融入和服务自治区党委决策，题研究、学术交流、社科普及、社科评奖、人才队伍等工作取得新进展新成绩。</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楷体" w:hAnsi="楷体" w:eastAsia="楷体" w:cs="楷体"/>
          <w:b w:val="0"/>
          <w:bCs/>
          <w:sz w:val="32"/>
          <w:szCs w:val="32"/>
          <w:lang w:eastAsia="zh-CN"/>
        </w:rPr>
        <w:t>（一）</w:t>
      </w:r>
      <w:r>
        <w:rPr>
          <w:rFonts w:hint="eastAsia" w:ascii="楷体" w:hAnsi="楷体" w:eastAsia="楷体" w:cs="楷体"/>
          <w:b w:val="0"/>
          <w:bCs/>
          <w:sz w:val="32"/>
          <w:szCs w:val="32"/>
        </w:rPr>
        <w:t>坚持围绕中心，提升研究阐释能力</w:t>
      </w:r>
      <w:r>
        <w:rPr>
          <w:rFonts w:hint="eastAsia" w:ascii="黑体" w:hAnsi="黑体" w:eastAsia="黑体" w:cs="黑体"/>
          <w:b w:val="0"/>
          <w:bCs/>
          <w:sz w:val="32"/>
          <w:szCs w:val="32"/>
        </w:rPr>
        <w:br w:type="textWrapping"/>
      </w:r>
      <w:r>
        <w:rPr>
          <w:rFonts w:hint="eastAsia" w:ascii="黑体" w:hAnsi="黑体" w:eastAsia="黑体" w:cs="黑体"/>
          <w:b w:val="0"/>
          <w:bCs/>
          <w:sz w:val="32"/>
          <w:szCs w:val="32"/>
          <w:lang w:val="en-US" w:eastAsia="zh-CN"/>
        </w:rPr>
        <w:t xml:space="preserve">   </w:t>
      </w:r>
      <w:r>
        <w:rPr>
          <w:rFonts w:hint="eastAsia" w:ascii="仿宋_GB2312" w:hAnsi="仿宋_GB2312" w:eastAsia="仿宋_GB2312" w:cs="仿宋_GB2312"/>
          <w:b w:val="0"/>
          <w:bCs/>
          <w:sz w:val="32"/>
          <w:szCs w:val="32"/>
        </w:rPr>
        <w:t>聚焦推动中国式现代化新疆实践，围绕“五大战略定位”“铸牢中华民族共同体意识”等现实问题立项课题97项，形成的《全国知名专家关于中国（新疆）自由贸易试验区建设的建议》《新疆全面提升承接产业转移能力的建议》等5篇要报获自治区党委主要领导肯定性批示，5篇获分管领导批示。以高质量发展新成效推进中国式现代化新疆实践为主题，联合新疆大学举办“2024年新时代党的治疆方略理论研讨会”，联合自治区党委党校、新疆财经大学等5所高校举办第二十一届新疆社会科学界学术年会，汇聚全国高端智库、国内知名高校专家学者，围绕新疆自贸试验区、新型能源体系建设、健康产业、冰雪经济、法治新疆等探讨前沿话题、分享最新成果，形成跨学科、跨领域、跨区域的学术交流平台，进一步开阔新疆社科研究视野，培养带动青年社科人才，服务新疆经济社会发展大局。《新疆社科论坛》（汉文版、维吾尔文版、哈萨克文版）和《西部蒙古论坛》杂志社办刊质量逐步提升，《新疆社科论坛》汉文版连续三年被确定为《中国学术期刊影响因子年报》统计源期刊，入选“2024中国精品期刊”。</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lang w:eastAsia="zh-CN"/>
        </w:rPr>
        <w:t>（</w:t>
      </w:r>
      <w:r>
        <w:rPr>
          <w:rFonts w:hint="eastAsia" w:ascii="楷体" w:hAnsi="楷体" w:eastAsia="楷体" w:cs="楷体"/>
          <w:b w:val="0"/>
          <w:bCs/>
          <w:sz w:val="32"/>
          <w:szCs w:val="32"/>
          <w:lang w:eastAsia="zh-CN"/>
        </w:rPr>
        <w:t>二</w:t>
      </w:r>
      <w:r>
        <w:rPr>
          <w:rFonts w:hint="eastAsia" w:ascii="仿宋_GB2312" w:hAnsi="仿宋_GB2312" w:eastAsia="仿宋_GB2312" w:cs="仿宋_GB2312"/>
          <w:b w:val="0"/>
          <w:bCs/>
          <w:sz w:val="32"/>
          <w:szCs w:val="32"/>
          <w:lang w:eastAsia="zh-CN"/>
        </w:rPr>
        <w:t>）</w:t>
      </w:r>
      <w:r>
        <w:rPr>
          <w:rFonts w:hint="eastAsia" w:ascii="楷体" w:hAnsi="楷体" w:eastAsia="楷体" w:cs="楷体"/>
          <w:b w:val="0"/>
          <w:bCs/>
          <w:sz w:val="32"/>
          <w:szCs w:val="32"/>
          <w:lang w:eastAsia="zh-CN"/>
        </w:rPr>
        <w:t>坚持借助外力，提升咨询服务能力</w:t>
      </w:r>
      <w:r>
        <w:rPr>
          <w:rFonts w:hint="eastAsia" w:ascii="黑体" w:hAnsi="黑体" w:eastAsia="黑体" w:cs="黑体"/>
          <w:b w:val="0"/>
          <w:bCs/>
          <w:sz w:val="32"/>
          <w:szCs w:val="32"/>
        </w:rPr>
        <w:cr/>
      </w:r>
      <w:r>
        <w:rPr>
          <w:rFonts w:hint="eastAsia" w:ascii="黑体" w:hAnsi="黑体" w:eastAsia="黑体" w:cs="黑体"/>
          <w:b w:val="0"/>
          <w:bCs/>
          <w:sz w:val="32"/>
          <w:szCs w:val="32"/>
          <w:lang w:val="en-US" w:eastAsia="zh-CN"/>
        </w:rPr>
        <w:t xml:space="preserve">   </w:t>
      </w:r>
      <w:r>
        <w:rPr>
          <w:rFonts w:hint="eastAsia" w:ascii="仿宋_GB2312" w:hAnsi="仿宋_GB2312" w:eastAsia="仿宋_GB2312" w:cs="仿宋_GB2312"/>
          <w:b w:val="0"/>
          <w:bCs/>
          <w:sz w:val="32"/>
          <w:szCs w:val="32"/>
        </w:rPr>
        <w:t>加强与高端智库合作，与山东等6省区市社科联组建“铸牢中华民族共同体意识哲学社会科学实验室”，与中国（深圳）综合开发研究院、“一带一路”国际合作发展（深圳）研究院等合作，加强丝绸之路经济带核心区建设、新疆自贸试验区等专题研究。落实有组织的科研，整合社科界研究资源力量，设立8家以铸牢中华民族共同体意识、反恐维稳法治化常态化、丝绸之路经济带核心区建设、碳中和与能源经济、乡村振兴、南疆基层社会治理、文化润疆、现代文明培育等为主攻方向的自治区咨询研究平台，推动专家由“单打独斗”向“团队集体作战”转变，为研究成果取得新突破奠定基础。</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楷体" w:hAnsi="楷体" w:eastAsia="楷体" w:cs="楷体"/>
          <w:b w:val="0"/>
          <w:bCs/>
          <w:sz w:val="32"/>
          <w:szCs w:val="32"/>
          <w:lang w:eastAsia="zh-CN"/>
        </w:rPr>
        <w:t>（三）</w:t>
      </w:r>
      <w:r>
        <w:rPr>
          <w:rFonts w:hint="eastAsia" w:ascii="楷体" w:hAnsi="楷体" w:eastAsia="楷体" w:cs="楷体"/>
          <w:b w:val="0"/>
          <w:bCs/>
          <w:sz w:val="32"/>
          <w:szCs w:val="32"/>
        </w:rPr>
        <w:t>坚持服务大众，提升社科普及效能</w:t>
      </w:r>
      <w:r>
        <w:rPr>
          <w:rFonts w:hint="eastAsia" w:ascii="黑体" w:hAnsi="黑体" w:eastAsia="黑体" w:cs="黑体"/>
          <w:b w:val="0"/>
          <w:bCs/>
          <w:sz w:val="32"/>
          <w:szCs w:val="32"/>
        </w:rPr>
        <w:cr/>
      </w:r>
      <w:r>
        <w:rPr>
          <w:rFonts w:hint="eastAsia" w:ascii="黑体" w:hAnsi="黑体" w:eastAsia="黑体" w:cs="黑体"/>
          <w:b w:val="0"/>
          <w:bCs/>
          <w:sz w:val="32"/>
          <w:szCs w:val="32"/>
          <w:lang w:val="en-US" w:eastAsia="zh-CN"/>
        </w:rPr>
        <w:t xml:space="preserve">   </w:t>
      </w:r>
      <w:r>
        <w:rPr>
          <w:rFonts w:hint="eastAsia" w:ascii="仿宋_GB2312" w:hAnsi="仿宋_GB2312" w:eastAsia="仿宋_GB2312" w:cs="仿宋_GB2312"/>
          <w:b w:val="0"/>
          <w:bCs/>
          <w:sz w:val="32"/>
          <w:szCs w:val="32"/>
        </w:rPr>
        <w:t>贯彻实施《自治区社会科学普及条例》，依托自治区社科普及联席会议机制，持续构建“大科普”工作格局。2024年新疆社科普及周活动推出社会主义核心价值观、中华优秀传统文化传承发展等重点活动60项，带动各地各单位开展活动600余项，吸引各族群众在参与文化、创作文化中享受文化。实施自治区文化润疆重点项目——2024新疆动漫节，举办动漫项目研修班，依托浙江、广东人才优势开展项目合作，提升新疆动漫人才创作水平，以动漫为媒讲好新疆故事。围绕现代文明培育等主题，推出优秀动漫作品55部，促成浙江、广东动漫产业学会在新疆三所高校建立动画（漫画）创作联合实验室。以“天山英才”哲学社会科学普及人才项目为依托，评出社科普及研究人才、创作人才30名。在北京大学实施社科普及工作能力提升专题研修项目。推动社科普及向基层覆盖，评选体现时代性、突出群众性、富于创造性的自治区社科普及“十佳案例”和优秀案例，以“理响新疆·云社科”专栏为引领，带动地州、县市开展社科普及短视频创作，昌吉州、克拉玛依市推出的作品荣获第二届全国“人文社科之光”短视频大赛一等奖和优秀奖。</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楷体" w:hAnsi="楷体" w:eastAsia="楷体" w:cs="楷体"/>
          <w:b w:val="0"/>
          <w:bCs/>
          <w:sz w:val="32"/>
          <w:szCs w:val="32"/>
          <w:lang w:eastAsia="zh-CN"/>
        </w:rPr>
        <w:t>（四）</w:t>
      </w:r>
      <w:r>
        <w:rPr>
          <w:rFonts w:hint="eastAsia" w:ascii="楷体" w:hAnsi="楷体" w:eastAsia="楷体" w:cs="楷体"/>
          <w:b w:val="0"/>
          <w:bCs/>
          <w:sz w:val="32"/>
          <w:szCs w:val="32"/>
        </w:rPr>
        <w:t>坚持内合外联，统筹推进社科资源整合</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制订印发《关于充分发挥自治区社会科学界联合会兼职副主席作用的意见》《自治区社科联常务委员会工作规则》《关于成立自治区社科联第六届委员会专业工作委员会的实施方案》，修订完善《新疆哲学社会科学奖评奖办法》。深化援疆工作，促成山东、广东两省社科联在喀什实施“文化润疆·社科润心”项目和社科普及项目，湖北社科联在博州设立社科工作站，浙江省社科联在阿克苏开办“浙·阿大讲堂”等。借助浙江、广东、上海、湖北、黑龙江、吉林等专家学者力量，在优秀传统文化传承发展、南疆现代文明培育和冰雪经济高质量发展等方面开展学术交流，提升受援地区学术研究能力。</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楷体" w:hAnsi="楷体" w:eastAsia="楷体" w:cs="楷体"/>
          <w:b w:val="0"/>
          <w:bCs/>
          <w:sz w:val="32"/>
          <w:szCs w:val="32"/>
          <w:lang w:eastAsia="zh-CN"/>
        </w:rPr>
        <w:t>（五）</w:t>
      </w:r>
      <w:r>
        <w:rPr>
          <w:rFonts w:hint="eastAsia" w:ascii="楷体" w:hAnsi="楷体" w:eastAsia="楷体" w:cs="楷体"/>
          <w:b w:val="0"/>
          <w:bCs/>
          <w:sz w:val="32"/>
          <w:szCs w:val="32"/>
        </w:rPr>
        <w:t>加强调查研究，服务决策咨询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坚持问题导向，围绕新疆发展稳定面临的突出问题开展调查研究。根据自治区党委宣传部统一部署，选派一名班子成员带队，深入南疆地区完成“加快推进南疆现代文明培育”专题调研。以铸牢中华民族共同体意识为主线，联合自治区相关部门完成“新疆企业促进各民族交往交流交融”“新疆旅游促进各民族交往交流交融”2项专题调研。组织新疆、山东两地社科专家，赴喀什地区完成“以铸牢中华民族共同体意识为引领，有形有感有效推动文化润疆的对策研究”专题调研。形成一批应用性、对策性、前瞻性综合报告和专题报告，为自治区党委、政府科学决策提供参考建议。</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sz w:val="32"/>
          <w:szCs w:val="32"/>
        </w:rPr>
      </w:pPr>
      <w:r>
        <w:rPr>
          <w:rFonts w:hint="eastAsia" w:ascii="楷体" w:hAnsi="楷体" w:eastAsia="楷体" w:cs="楷体"/>
          <w:b w:val="0"/>
          <w:bCs/>
          <w:sz w:val="32"/>
          <w:szCs w:val="32"/>
        </w:rPr>
        <w:t>助力乡村振兴，做好驻村工作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坚持“队员当代表、单位做后盾、一把手负总责”工作要求，全力支持驻村工作队履行驻村重点任务。党组班子成员先后8次实地调研指导工作，帮助解决安防设施、村容整治等实际问题。完善防止返贫动态监测和帮扶机制，争取乡村振兴衔接项目资金200万元，实施合作社厂房扩建项目，实现就地就业近120名。常态化开展“民族团结一家亲”活动，促进各族干部群众交往交流交融。</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黑体" w:hAnsi="黑体" w:eastAsia="黑体" w:cs="黑体"/>
          <w:b/>
          <w:bCs w:val="0"/>
          <w:color w:val="333333"/>
          <w:sz w:val="32"/>
          <w:szCs w:val="32"/>
          <w:lang w:bidi="ar"/>
        </w:rPr>
      </w:pPr>
      <w:r>
        <w:rPr>
          <w:rFonts w:hint="eastAsia" w:ascii="黑体" w:hAnsi="黑体" w:eastAsia="黑体" w:cs="黑体"/>
          <w:b/>
          <w:bCs w:val="0"/>
          <w:color w:val="333333"/>
          <w:sz w:val="32"/>
          <w:szCs w:val="32"/>
          <w:lang w:eastAsia="zh-CN" w:bidi="ar"/>
        </w:rPr>
        <w:t>二、</w:t>
      </w:r>
      <w:r>
        <w:rPr>
          <w:rFonts w:hint="eastAsia" w:ascii="黑体" w:hAnsi="黑体" w:eastAsia="黑体" w:cs="黑体"/>
          <w:b/>
          <w:bCs w:val="0"/>
          <w:color w:val="333333"/>
          <w:sz w:val="32"/>
          <w:szCs w:val="32"/>
          <w:lang w:bidi="ar"/>
        </w:rPr>
        <w:t>部门单位整体预算规模及安排情况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自治区社科联无下属预算单位，第六届委员会设有主席1名、专职副主席4名、兼职副主席6名、常委27名，共有委员181名。内设机构有办公室、机关党委（组织人事部)、学会部（民办社科部）、科普部、评奖办5个部室和治疆方略理论与实践研究中心、《新疆社科论坛》杂志社2个事业单位。核定编制57个，其中行政编制33名（含5名工勤编制）、事业编制24人。2024年，自治区社科联一般公共预算财政拨款2317.68万元，其中基本支出1192.68万元，项目支出1125万元；单位资金其他收入55.85万元为国家社科基金用于支持社会组织项目经费；以上收入均已全部实施预算绩效管理，占2024年预算资金总额100%，覆盖率达到100%。</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i w:val="0"/>
          <w:caps w:val="0"/>
          <w:color w:val="333333"/>
          <w:spacing w:val="0"/>
          <w:sz w:val="32"/>
          <w:szCs w:val="32"/>
          <w:shd w:val="clear" w:fill="FFFFFF"/>
        </w:rPr>
      </w:pPr>
      <w:r>
        <w:rPr>
          <w:rFonts w:hint="eastAsia" w:ascii="仿宋_GB2312" w:hAnsi="仿宋_GB2312" w:eastAsia="仿宋_GB2312" w:cs="仿宋_GB2312"/>
          <w:b w:val="0"/>
          <w:bCs/>
          <w:sz w:val="32"/>
          <w:szCs w:val="32"/>
        </w:rPr>
        <w:t>年中增加新疆人才发展基金2024年度第一轮支持资金40万。2024年实际支出2279.46万元，其中科学技术支出2239.46万元，占到总支出98.25%; 文化旅游体育与传媒支出40万元，占到总支出1.75%。</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三、</w:t>
      </w:r>
      <w:r>
        <w:rPr>
          <w:rFonts w:hint="eastAsia" w:ascii="黑体" w:hAnsi="黑体" w:eastAsia="黑体" w:cs="黑体"/>
          <w:b w:val="0"/>
          <w:bCs/>
          <w:color w:val="333333"/>
          <w:sz w:val="32"/>
          <w:szCs w:val="32"/>
          <w:lang w:bidi="ar"/>
        </w:rPr>
        <w:t>部门单位整体支出管理及使用情况</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（一）基本支出和使用情况</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1.基本支出投入和使用情况</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2024年财政拨款收入2243.41万元，其中基本支出1333.45万元，占总支出59.44%，其中：工资福利支出988.16万元、商品和服务支出104.42万元、对个人和家庭的补助100.10万元。</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2.基本支出管理情况</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基本支出严格按照财务管理制度执行。人员工资由相关部门逐个审核，按月申报及发放。基本公用经费主要用于支付单位日常的办公费、邮电费、差旅费、维修（护）费、劳务费、车辆运行维护费等。公务用车运行维护费主要用于单位车辆加油、维修及购买车辆保险。</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自治区社科联牢固树立过紧日子思想，坚持勤俭办一切事业工作原则，提倡全体干部职工，勤俭节约，切实降低行政运行成本，确保每年“三公”经费只减不增。2024年“三公”经费预算为15.77万元，实际支出15.77万元，“三公”经费控制率为100%，其中：因公出国（境）费预算为0万元，实际支出0万元，因公出国（境）费预算控制率0%；公务接待费预算为1.99万元，实际支出0.7357万元，公务接待费预算控制率100%；公务用车购置费预算为0万元，实际支出0万元，公务用车购置费预算控制率0%；公务用车运行维护费预算为13.78万元，实际支出13.78万元，公务用车运行维护费控制率100%，符合财政部门本年预算要求和相关管理制度要求。</w:t>
      </w:r>
    </w:p>
    <w:p>
      <w:pPr>
        <w:keepNext w:val="0"/>
        <w:keepLines w:val="0"/>
        <w:pageBreakBefore w:val="0"/>
        <w:widowControl w:val="0"/>
        <w:numPr>
          <w:ilvl w:val="0"/>
          <w:numId w:val="2"/>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val="0"/>
          <w:bCs/>
          <w:sz w:val="32"/>
          <w:szCs w:val="32"/>
        </w:rPr>
      </w:pPr>
      <w:r>
        <w:rPr>
          <w:rFonts w:hint="eastAsia" w:ascii="楷体" w:hAnsi="楷体" w:eastAsia="楷体" w:cs="楷体"/>
          <w:b w:val="0"/>
          <w:bCs/>
          <w:sz w:val="32"/>
          <w:szCs w:val="32"/>
        </w:rPr>
        <w:t>项目专项支出投入、管理和使用情况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1.项目专项支出投入和使用情况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2024年财政拨款收入2243.41万元，项目支出853.07万元，占总支出38.02%。</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2024年本部门单位共有5个项目，其中4个属经常性项目、1个属当年度新增项目。已完成项目5个、未完成项目0个。</w:t>
      </w:r>
    </w:p>
    <w:p>
      <w:pPr>
        <w:keepNext w:val="0"/>
        <w:keepLines w:val="0"/>
        <w:pageBreakBefore w:val="0"/>
        <w:widowControl w:val="0"/>
        <w:numPr>
          <w:ilvl w:val="0"/>
          <w:numId w:val="3"/>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绩效目标</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根据国家政策法规和本单位工作实际情况，建立健全财务管理制度、事业单位内部控制制度和内部约束机制，依法依规、合理地使用公共财政资金，提高财政资金使用效率，在完成部门职能目标中合理分配人、财、物，使之达到较高的工作效率和水平。</w:t>
      </w:r>
    </w:p>
    <w:p>
      <w:pPr>
        <w:keepNext w:val="0"/>
        <w:keepLines w:val="0"/>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部门内部控制及厉行节约制度建设</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高度重视预算绩效管理评价工作，成立了以分管财务的领导为组长，其他领导为副组长，部室负责人为成员的预算绩效管理领导小组和单位内部控制基础性评价工作领导小组，明确各职能部室的评价责任，进一步强化各部室对公共财政预算支出绩效管理意识。</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加强对上级财政预算资金方面制度的培训学习，不断提高各职能股室的业务能力。</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建立了机关整体支出管理方面的内部控制制度，并不断进行完善。如预算绩效管理制度、财务管理制度、固定资产管理制度、项目建设管理制度及事业单位内部控制制度，对公务招待费、公务用车等“三公”经费支出进行有效地控制。</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严格制度执行，特别是“三公”经费的预算控制。加强公务用车的管理，严格公务接待费用的审核审批程序，“三公”经费控制在财政预算范围内。</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rPr>
        <w:t>.项目专项支出管理情况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（一）专项组织情况分析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1.前期准备</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我单位成立专项支出绩效评价小组，绩效评价工作职责为负责资料审核、填报等工作。通过与各部室前期沟通，明确评价目标、识别重要评价事项和履行的评价责任。制定文件清单，了解项目基本情况，确认部门整体的绩效指标，梳理部门内部管理制度，确定当年整体绩效评价重点。</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2.组织实施</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根据前期沟通了解评价对象基本情况，编制评价工作方案，经评价组通过实地调研、查阅资料等方式，对数据采集、分析、处理，对项目的决策、管理、绩效进行的综合评价分析，最后归纳整体项目情况与存在问题，撰写部门绩效评价报告。</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（二）专项管理情况分析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1.项目资金情况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自治区社科联2024年项目年初预算数1180.85万元，全年</w:t>
      </w:r>
      <w:r>
        <w:rPr>
          <w:rFonts w:hint="eastAsia" w:ascii="仿宋_GB2312" w:hAnsi="仿宋_GB2312" w:eastAsia="仿宋_GB2312" w:cs="仿宋_GB2312"/>
          <w:b w:val="0"/>
          <w:bCs/>
          <w:sz w:val="32"/>
          <w:szCs w:val="32"/>
          <w:lang w:eastAsia="zh-CN"/>
        </w:rPr>
        <w:t>预算</w:t>
      </w:r>
      <w:r>
        <w:rPr>
          <w:rFonts w:hint="eastAsia" w:ascii="仿宋_GB2312" w:hAnsi="仿宋_GB2312" w:eastAsia="仿宋_GB2312" w:cs="仿宋_GB2312"/>
          <w:b w:val="0"/>
          <w:bCs/>
          <w:color w:val="auto"/>
          <w:sz w:val="32"/>
          <w:szCs w:val="32"/>
          <w:lang w:eastAsia="zh-CN"/>
        </w:rPr>
        <w:t>数</w:t>
      </w:r>
      <w:r>
        <w:rPr>
          <w:rFonts w:hint="eastAsia" w:ascii="仿宋_GB2312" w:hAnsi="仿宋_GB2312" w:eastAsia="仿宋_GB2312" w:cs="仿宋_GB2312"/>
          <w:b w:val="0"/>
          <w:bCs/>
          <w:color w:val="auto"/>
          <w:sz w:val="32"/>
          <w:szCs w:val="32"/>
          <w:lang w:val="en-US" w:eastAsia="zh-CN"/>
        </w:rPr>
        <w:t>853.07</w:t>
      </w:r>
      <w:r>
        <w:rPr>
          <w:rFonts w:hint="eastAsia" w:ascii="仿宋_GB2312" w:hAnsi="仿宋_GB2312" w:eastAsia="仿宋_GB2312" w:cs="仿宋_GB2312"/>
          <w:b w:val="0"/>
          <w:bCs/>
          <w:sz w:val="32"/>
          <w:szCs w:val="32"/>
        </w:rPr>
        <w:t>万元：主要用于社会科学普及工作448.61万元、社会科学学会工作90万元、社科信息化及刊物工作80万元、治疆方略理论与实践研究中心项目175.36万元、国家社科基金用于支持社会组织项目经费</w:t>
      </w:r>
      <w:r>
        <w:rPr>
          <w:rFonts w:hint="eastAsia" w:ascii="仿宋_GB2312" w:hAnsi="仿宋_GB2312" w:eastAsia="仿宋_GB2312" w:cs="仿宋_GB2312"/>
          <w:b w:val="0"/>
          <w:bCs/>
          <w:sz w:val="32"/>
          <w:szCs w:val="32"/>
          <w:lang w:val="en-US" w:eastAsia="zh-CN"/>
        </w:rPr>
        <w:t>59.1</w:t>
      </w:r>
      <w:r>
        <w:rPr>
          <w:rFonts w:hint="eastAsia" w:ascii="仿宋_GB2312" w:hAnsi="仿宋_GB2312" w:eastAsia="仿宋_GB2312" w:cs="仿宋_GB2312"/>
          <w:b w:val="0"/>
          <w:bCs/>
          <w:sz w:val="32"/>
          <w:szCs w:val="32"/>
        </w:rPr>
        <w:t>万元。项目资金使用管理规范，资金的执行情况和绩效情况总体达到预期目标。</w:t>
      </w:r>
      <w:bookmarkStart w:id="1" w:name="_GoBack"/>
      <w:bookmarkEnd w:id="1"/>
      <w:r>
        <w:rPr>
          <w:rFonts w:hint="eastAsia" w:ascii="仿宋_GB2312" w:hAnsi="仿宋_GB2312" w:eastAsia="仿宋_GB2312" w:cs="仿宋_GB2312"/>
          <w:b w:val="0"/>
          <w:bCs/>
          <w:sz w:val="32"/>
          <w:szCs w:val="32"/>
        </w:rPr>
        <w:t>本项目严格按照《自治区社科联内部控制管理手册》执行项目资金，实行专账核算、逐级审批。认真落实项目资金的使用各项管理制度，确保专款专用，及时拨付到位。</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2.项目实施情况</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项目管理情况：根据《自治区社科联内部控制管理手册》及单位相关项目管理制度的规定，对项目的实施进行监督管理。建立健全项目后续各项监督管理制度，确保项目正常运转，长期发挥效益。</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绩效监控情况：绩效监控是保障单位实现绩效目标、提高预算执行效率、提升资金使用效益的重要手段和有效措施，对及时发现并纠正绩效运行中存在的问题，确保绩效目标全面、如期完成有重要意义。社科联高度重视，按照要求做好2024年预算绩效运行监控工作。对绩效监控中发现的绩效目标执行偏差和管理漏洞，及时采取有针对性的措施予以纠正，不断改进和加强预算绩效管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四、</w:t>
      </w:r>
      <w:r>
        <w:rPr>
          <w:rFonts w:hint="eastAsia" w:ascii="黑体" w:hAnsi="黑体" w:eastAsia="黑体" w:cs="黑体"/>
          <w:b w:val="0"/>
          <w:bCs/>
          <w:color w:val="333333"/>
          <w:sz w:val="32"/>
          <w:szCs w:val="32"/>
          <w:lang w:bidi="ar"/>
        </w:rPr>
        <w:t>部门单位专项组织实施情况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部门单位整体支出自评表，共设置一级指标2个，二级指标3个，三级指标5个。</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质量指标：社科普及活动覆盖面预期目标值≧95％，实际完成≧95％；指标完成率是100%，达到预期目标。</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数量指标：社科普及活动次数，预期目标值≧100次，实际完成150次；指标完成率是100%，达到预期目标。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数量指标：四种文版刊物的编辑出版册数，预期目标值≥1.9万册，实际完成1.9万册；指标完成率是100%，达到预期目标。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数量指标：课题申报及立项数量，预期目标值≥85项，实际完成≥85项；指标完成率是100%，达到预期目标。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满意度指标：科普宣传群众满意度，预期目标值≥95%，实际完成≥95%；指标完成率是100%，达到预期目标。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以来，自治区社科联牢固树立“花钱必问效、无效必问责”的绩效理念，按照自治区财政厅关于预算绩效管理的各项要求，对社科联各项目经费共计2373.53万元实行严格的绩效管理，强化事前绩效评估、事中绩效运行控制、事后绩效评估考核，项目资金使用效益大幅提升，工作取得积极成效。</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坚持围绕中心、服务大局，努力提升研究阐释水平</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聚焦新时代党的治疆方略和新疆在国家全局中的战略定位，紧扣中国式现代化新疆实践，开展对策性研究。一是课题研究更加聚焦首要任务。二是咨询要报质量和成果转化能力不断提升。三是学术交流视野更加开阔。四是期刊质量不断提升。</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坚持借助外力、练好内功，持续提高咨询服务能力搭建与内地专家学者的交流平台，注重与实际部门的对接联系，深入开展学科调查研究和项目合作，充分发挥我区社科界“思想库”“智囊团”作用。一是设立自治区咨询研究平台。二是加强与高端智库合作。三是组织社科专家大调研。</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坚持服务社会、服务人民，有效提升社科普及效能坚持以铸牢中华民族共同体意识为主线，运用群众喜闻乐见、易于接受的方式开展社科普及，推动党的创新理论深入基层、深入人心。一是构建“大科普”工作格局。二是探索用动漫形式开展社科普及。三是加强人才队伍建设。四是强化示范带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（四）坚持内合外联、高位推动，统筹推进社科资源整合</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当好桥梁纽带，对内发挥合力，对外加强联系，为提升社科工作质效赋能。强化自身建设。完善体制机制，制订印发《关于充分发挥新疆维吾尔自治区社会科学界联合会兼职副主席作用的意见》《自治区社科联常务委员会工作规则》《关于成立自治区社科联第六届委员会专业工作委员会的实施方案》等，发挥联合优势，助推社科工作高质量发展。激励学术研究创新。优化评价评奖机制，修订《新疆维吾尔自治区哲学社会科学奖评奖办法》，增设社科人才奖、社科普及奖，建立促进哲学社会科学高质量发展的激励机制。完善《新时代党的治疆方略理论与实践研究课题管理办法》，提升课题管理的科学化、规范化和制度化水平。拓宽思路、借力引智。深化援疆工作，促成山东、广东两省社科联在喀什实施“文化润疆·社科润心”项目和社科普及项目，湖北社科联在博州设立社科工作站，浙江社科联在人才资金方面支持阿克苏社科工作，借助浙江、广东、上海、湖北、黑龙江、吉林等专家学者力量，在优秀传统文化传承发展、南疆现代文明培育、冰雪经济高质量发展等方面开展学术交流，提升受援地区学术研究能力。</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项目完成情况总体良好。在预算执行过程中，对项目资金绩效目标实现程度和预算执行进度实行“双监控”，针对出现的问题及时采取有效措施确保绩效目标如期实现，本年项目成效明显好于往年。</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五、评价结论</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2024年度部门整体支出绩效自评综合得分90分，评价结果为“优”。</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b w:val="0"/>
          <w:bCs/>
          <w:i w:val="0"/>
          <w:caps w:val="0"/>
          <w:color w:val="333333"/>
          <w:spacing w:val="0"/>
          <w:sz w:val="32"/>
          <w:szCs w:val="32"/>
          <w:shd w:val="clear" w:fill="FFFFFF"/>
        </w:rPr>
      </w:pPr>
      <w:r>
        <w:rPr>
          <w:rFonts w:hint="eastAsia" w:ascii="黑体" w:hAnsi="黑体" w:eastAsia="黑体" w:cs="黑体"/>
          <w:b w:val="0"/>
          <w:bCs/>
          <w:i w:val="0"/>
          <w:caps w:val="0"/>
          <w:color w:val="333333"/>
          <w:spacing w:val="0"/>
          <w:sz w:val="32"/>
          <w:szCs w:val="32"/>
          <w:shd w:val="clear" w:fill="FFFFFF"/>
          <w:lang w:eastAsia="zh-CN"/>
        </w:rPr>
        <w:t>六、</w:t>
      </w:r>
      <w:r>
        <w:rPr>
          <w:rFonts w:hint="eastAsia" w:ascii="黑体" w:hAnsi="黑体" w:eastAsia="黑体" w:cs="黑体"/>
          <w:b w:val="0"/>
          <w:bCs/>
          <w:i w:val="0"/>
          <w:caps w:val="0"/>
          <w:color w:val="333333"/>
          <w:spacing w:val="0"/>
          <w:sz w:val="32"/>
          <w:szCs w:val="32"/>
          <w:shd w:val="clear" w:fill="FFFFFF"/>
        </w:rPr>
        <w:t>存在的主要问题及原因分析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333333"/>
          <w:sz w:val="32"/>
          <w:szCs w:val="32"/>
          <w:lang w:bidi="ar"/>
        </w:rPr>
        <w:t xml:space="preserve"> </w:t>
      </w:r>
      <w:r>
        <w:rPr>
          <w:rFonts w:hint="eastAsia" w:ascii="仿宋_GB2312" w:hAnsi="仿宋_GB2312" w:eastAsia="仿宋_GB2312" w:cs="仿宋_GB2312"/>
          <w:b w:val="0"/>
          <w:bCs/>
          <w:sz w:val="32"/>
          <w:szCs w:val="32"/>
        </w:rPr>
        <w:t>一是在绩效管理方面，虽制定了系列制度，但在预算执行时上半年不是很好，部分项目预算执行缓慢。影响单位的整体支出绩效。</w:t>
      </w:r>
      <w:r>
        <w:rPr>
          <w:rFonts w:hint="eastAsia" w:ascii="仿宋_GB2312" w:hAnsi="仿宋_GB2312" w:eastAsia="仿宋_GB2312" w:cs="仿宋_GB2312"/>
          <w:b w:val="0"/>
          <w:bCs/>
          <w:sz w:val="32"/>
          <w:szCs w:val="32"/>
        </w:rPr>
        <w:cr/>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二是部门整体绩效目标在设定、细化程度和可衡量方面未进行细化和量化，需进一步加强对部门整体绩效管理。</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三是预算绩效评价结果的激励约束作用需进一步强化，绩效成果运用有待加强。</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四是绩效管理相关人员专业能力需进一步提升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七、</w:t>
      </w:r>
      <w:r>
        <w:rPr>
          <w:rFonts w:hint="eastAsia" w:ascii="黑体" w:hAnsi="黑体" w:eastAsia="黑体" w:cs="黑体"/>
          <w:b w:val="0"/>
          <w:bCs/>
          <w:color w:val="333333"/>
          <w:sz w:val="32"/>
          <w:szCs w:val="32"/>
          <w:lang w:bidi="ar"/>
        </w:rPr>
        <w:t>改进措施和建议</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b w:val="0"/>
          <w:bCs/>
          <w:sz w:val="32"/>
          <w:szCs w:val="32"/>
        </w:rPr>
      </w:pPr>
      <w:r>
        <w:rPr>
          <w:rFonts w:hint="eastAsia" w:ascii="仿宋_GB2312" w:hAnsi="仿宋_GB2312" w:eastAsia="仿宋_GB2312" w:cs="仿宋_GB2312"/>
          <w:b w:val="0"/>
          <w:bCs/>
          <w:sz w:val="32"/>
          <w:szCs w:val="32"/>
        </w:rPr>
        <w:t>（一）完善绩效目标管理，对绩效目标进行细化和量化，做到绩效目标可衡量。完善绩效评价管理机制，结合实际工作情况，优化财务、业务、资源和资产绩效的协同管理模式。进一步加强预算绩效管理业务培训。</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（二）督促加快项目实施进度，提高项目资金使用效率。</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（三）加强绩效评价结果应用。</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（四）加强单位内部控制制度建设，确保一般公共财政性绩效目标的顺利完成。</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6A6996"/>
    <w:multiLevelType w:val="singleLevel"/>
    <w:tmpl w:val="036A6996"/>
    <w:lvl w:ilvl="0" w:tentative="0">
      <w:start w:val="6"/>
      <w:numFmt w:val="chineseCounting"/>
      <w:suff w:val="nothing"/>
      <w:lvlText w:val="（%1）"/>
      <w:lvlJc w:val="left"/>
      <w:rPr>
        <w:rFonts w:hint="eastAsia"/>
      </w:rPr>
    </w:lvl>
  </w:abstractNum>
  <w:abstractNum w:abstractNumId="1">
    <w:nsid w:val="0566A355"/>
    <w:multiLevelType w:val="singleLevel"/>
    <w:tmpl w:val="0566A355"/>
    <w:lvl w:ilvl="0" w:tentative="0">
      <w:start w:val="2"/>
      <w:numFmt w:val="decimal"/>
      <w:suff w:val="nothing"/>
      <w:lvlText w:val="%1、"/>
      <w:lvlJc w:val="left"/>
    </w:lvl>
  </w:abstractNum>
  <w:abstractNum w:abstractNumId="2">
    <w:nsid w:val="23506599"/>
    <w:multiLevelType w:val="singleLevel"/>
    <w:tmpl w:val="23506599"/>
    <w:lvl w:ilvl="0" w:tentative="0">
      <w:start w:val="2"/>
      <w:numFmt w:val="chineseCounting"/>
      <w:suff w:val="nothing"/>
      <w:lvlText w:val="（%1）"/>
      <w:lvlJc w:val="left"/>
      <w:rPr>
        <w:rFonts w:hint="eastAsia"/>
      </w:rPr>
    </w:lvl>
  </w:abstractNum>
  <w:abstractNum w:abstractNumId="3">
    <w:nsid w:val="7E027DC7"/>
    <w:multiLevelType w:val="singleLevel"/>
    <w:tmpl w:val="7E027DC7"/>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jOWJhZWIyNWI2OTVjYWE1MzYzM2U5ZDAyMGRiMDMifQ=="/>
  </w:docVars>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314578A"/>
    <w:rsid w:val="12350D4C"/>
    <w:rsid w:val="376016E5"/>
    <w:rsid w:val="45B40B19"/>
    <w:rsid w:val="46FE3E42"/>
    <w:rsid w:val="61ED34E5"/>
    <w:rsid w:val="6D7F2585"/>
    <w:rsid w:val="6E575C70"/>
    <w:rsid w:val="717B2268"/>
    <w:rsid w:val="7679626C"/>
    <w:rsid w:val="78C95209"/>
    <w:rsid w:val="7B687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6504</Words>
  <Characters>6788</Characters>
  <Lines>2</Lines>
  <Paragraphs>1</Paragraphs>
  <TotalTime>80</TotalTime>
  <ScaleCrop>false</ScaleCrop>
  <LinksUpToDate>false</LinksUpToDate>
  <CharactersWithSpaces>6849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cp:lastPrinted>2025-08-18T11:28:00Z</cp:lastPrinted>
  <dcterms:modified xsi:type="dcterms:W3CDTF">2025-08-22T10:52:37Z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11791C7133F5441CB8FD3F930B4CD32E_13</vt:lpwstr>
  </property>
</Properties>
</file>